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Capital Asset Internal Control Policy Narrative</w:t>
      </w:r>
    </w:p>
    <w:p>
      <w:r>
        <w:t>This document establishes internal controls for the acquisition, tracking, valuation, inventory, and disposal of capital assets in compliance with Brown County Ordinance 2025 and Indiana Code requirements. Controls ensure accountability, transparency, safeguarding of assets, and accurate financial reporting.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